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6761BA" w:rsidRPr="00DA738B" w:rsidRDefault="00DA738B" w:rsidP="00DA73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DA738B">
        <w:rPr>
          <w:rFonts w:ascii="Arial" w:hAnsi="Arial" w:cs="Arial"/>
          <w:b/>
          <w:bCs/>
          <w:sz w:val="32"/>
          <w:szCs w:val="28"/>
        </w:rPr>
        <w:t xml:space="preserve">Retiro voluntario del mercado de </w:t>
      </w:r>
      <w:proofErr w:type="spellStart"/>
      <w:r w:rsidRPr="00DA738B">
        <w:rPr>
          <w:rFonts w:ascii="Arial" w:hAnsi="Arial" w:cs="Arial"/>
          <w:b/>
          <w:bCs/>
          <w:sz w:val="32"/>
          <w:szCs w:val="28"/>
        </w:rPr>
        <w:t>Losartán</w:t>
      </w:r>
      <w:proofErr w:type="spellEnd"/>
      <w:r w:rsidRPr="00DA738B">
        <w:rPr>
          <w:rFonts w:ascii="Arial" w:hAnsi="Arial" w:cs="Arial"/>
          <w:b/>
          <w:bCs/>
          <w:sz w:val="32"/>
          <w:szCs w:val="28"/>
        </w:rPr>
        <w:t xml:space="preserve"> potásico 50 mg (registro sanitario 2009M-0010223) y </w:t>
      </w:r>
      <w:proofErr w:type="spellStart"/>
      <w:r w:rsidRPr="00DA738B">
        <w:rPr>
          <w:rFonts w:ascii="Arial" w:hAnsi="Arial" w:cs="Arial"/>
          <w:b/>
          <w:bCs/>
          <w:sz w:val="32"/>
          <w:szCs w:val="28"/>
        </w:rPr>
        <w:t>Losartán</w:t>
      </w:r>
      <w:proofErr w:type="spellEnd"/>
      <w:r w:rsidRPr="00DA738B">
        <w:rPr>
          <w:rFonts w:ascii="Arial" w:hAnsi="Arial" w:cs="Arial"/>
          <w:b/>
          <w:bCs/>
          <w:sz w:val="32"/>
          <w:szCs w:val="28"/>
        </w:rPr>
        <w:t xml:space="preserve"> potásico </w:t>
      </w:r>
      <w:proofErr w:type="spellStart"/>
      <w:r w:rsidRPr="00DA738B">
        <w:rPr>
          <w:rFonts w:ascii="Arial" w:hAnsi="Arial" w:cs="Arial"/>
          <w:b/>
          <w:bCs/>
          <w:sz w:val="32"/>
          <w:szCs w:val="28"/>
        </w:rPr>
        <w:t>Sandoz</w:t>
      </w:r>
      <w:proofErr w:type="spellEnd"/>
      <w:r w:rsidRPr="00DA738B">
        <w:rPr>
          <w:rFonts w:ascii="Arial" w:hAnsi="Arial" w:cs="Arial"/>
          <w:b/>
          <w:bCs/>
          <w:sz w:val="32"/>
          <w:szCs w:val="28"/>
        </w:rPr>
        <w:t xml:space="preserve">® 100mg tabletas recubiertas (registro sanitario 2009M-0010212) importados por </w:t>
      </w:r>
      <w:proofErr w:type="spellStart"/>
      <w:r w:rsidRPr="00DA738B">
        <w:rPr>
          <w:rFonts w:ascii="Arial" w:hAnsi="Arial" w:cs="Arial"/>
          <w:b/>
          <w:bCs/>
          <w:sz w:val="32"/>
          <w:szCs w:val="28"/>
        </w:rPr>
        <w:t>Novartis</w:t>
      </w:r>
      <w:proofErr w:type="spellEnd"/>
      <w:r w:rsidRPr="00DA738B">
        <w:rPr>
          <w:rFonts w:ascii="Arial" w:hAnsi="Arial" w:cs="Arial"/>
          <w:b/>
          <w:bCs/>
          <w:sz w:val="32"/>
          <w:szCs w:val="28"/>
        </w:rPr>
        <w:t xml:space="preserve"> de Colombia S.A.</w:t>
      </w:r>
    </w:p>
    <w:p w:rsidR="001573A2" w:rsidRDefault="001573A2" w:rsidP="001573A2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4C533B" w:rsidRPr="004C533B" w:rsidRDefault="00D17199" w:rsidP="004C533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D17199">
        <w:rPr>
          <w:b/>
          <w:sz w:val="28"/>
        </w:rPr>
        <w:t>Registro sanitario:</w:t>
      </w:r>
      <w:r w:rsidR="004C533B" w:rsidRPr="004C533B">
        <w:rPr>
          <w:b/>
          <w:sz w:val="28"/>
        </w:rPr>
        <w:t xml:space="preserve"> </w:t>
      </w:r>
      <w:r w:rsidR="00DA738B" w:rsidRPr="00DA738B">
        <w:rPr>
          <w:sz w:val="28"/>
        </w:rPr>
        <w:t>2009M-0010223 Y 2009M-0010212</w:t>
      </w:r>
    </w:p>
    <w:p w:rsidR="006267B3" w:rsidRDefault="004C533B" w:rsidP="004C533B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4C533B">
        <w:rPr>
          <w:b/>
          <w:sz w:val="28"/>
        </w:rPr>
        <w:t xml:space="preserve">No. Identificación interno: </w:t>
      </w:r>
      <w:r w:rsidR="00DA738B" w:rsidRPr="00DA738B">
        <w:rPr>
          <w:sz w:val="28"/>
        </w:rPr>
        <w:t>MA2109-212</w:t>
      </w:r>
    </w:p>
    <w:p w:rsidR="006267B3" w:rsidRDefault="006267B3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4C53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  <w:r w:rsidRPr="00FF003B">
        <w:rPr>
          <w:noProof/>
          <w:sz w:val="28"/>
          <w:lang w:eastAsia="es-CO"/>
        </w:rPr>
        <w:drawing>
          <wp:anchor distT="0" distB="0" distL="114300" distR="114300" simplePos="0" relativeHeight="251659264" behindDoc="0" locked="0" layoutInCell="1" allowOverlap="1" wp14:anchorId="3E86A81B" wp14:editId="4EEBEF12">
            <wp:simplePos x="0" y="0"/>
            <wp:positionH relativeFrom="column">
              <wp:posOffset>2880995</wp:posOffset>
            </wp:positionH>
            <wp:positionV relativeFrom="paragraph">
              <wp:posOffset>119436</wp:posOffset>
            </wp:positionV>
            <wp:extent cx="2310216" cy="1514475"/>
            <wp:effectExtent l="0" t="0" r="0" b="0"/>
            <wp:wrapNone/>
            <wp:docPr id="3" name="Imagen 3" descr="C:\Users\cpapfarmaci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apfarmaci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1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3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 w:rsidRPr="00FF003B">
        <w:rPr>
          <w:noProof/>
          <w:sz w:val="28"/>
          <w:lang w:eastAsia="es-CO"/>
        </w:rPr>
        <w:drawing>
          <wp:anchor distT="0" distB="0" distL="114300" distR="114300" simplePos="0" relativeHeight="251658240" behindDoc="0" locked="0" layoutInCell="1" allowOverlap="1" wp14:anchorId="30A56CCE" wp14:editId="554BE012">
            <wp:simplePos x="0" y="0"/>
            <wp:positionH relativeFrom="column">
              <wp:posOffset>937895</wp:posOffset>
            </wp:positionH>
            <wp:positionV relativeFrom="paragraph">
              <wp:posOffset>7620</wp:posOffset>
            </wp:positionV>
            <wp:extent cx="2038350" cy="1421272"/>
            <wp:effectExtent l="0" t="0" r="0" b="7620"/>
            <wp:wrapNone/>
            <wp:docPr id="2" name="Imagen 2" descr="C:\Users\cpapfarmaci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pfarmaci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D4149F" w:rsidRDefault="00D4149F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FF00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FF00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FF00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FF00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FF003B" w:rsidRDefault="00FF003B" w:rsidP="00D4149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1573A2" w:rsidRDefault="00DA738B" w:rsidP="00DA738B">
      <w:pPr>
        <w:jc w:val="both"/>
        <w:rPr>
          <w:sz w:val="24"/>
          <w:szCs w:val="24"/>
        </w:rPr>
      </w:pPr>
      <w:r w:rsidRPr="00DA738B">
        <w:rPr>
          <w:sz w:val="24"/>
          <w:szCs w:val="24"/>
        </w:rPr>
        <w:t xml:space="preserve">El Instituto Nacional de Vigilancia de Medicamentos y Alimentos - </w:t>
      </w:r>
      <w:proofErr w:type="spellStart"/>
      <w:r w:rsidRPr="00DA738B">
        <w:rPr>
          <w:sz w:val="24"/>
          <w:szCs w:val="24"/>
        </w:rPr>
        <w:t>Invima</w:t>
      </w:r>
      <w:proofErr w:type="spellEnd"/>
      <w:r w:rsidRPr="00DA738B">
        <w:rPr>
          <w:sz w:val="24"/>
          <w:szCs w:val="24"/>
        </w:rPr>
        <w:t xml:space="preserve"> informa que se ha notificado por parte del importador </w:t>
      </w:r>
      <w:proofErr w:type="spellStart"/>
      <w:r w:rsidRPr="00DA738B">
        <w:rPr>
          <w:sz w:val="24"/>
          <w:szCs w:val="24"/>
        </w:rPr>
        <w:t>Novartis</w:t>
      </w:r>
      <w:proofErr w:type="spellEnd"/>
      <w:r w:rsidRPr="00DA738B">
        <w:rPr>
          <w:sz w:val="24"/>
          <w:szCs w:val="24"/>
        </w:rPr>
        <w:t xml:space="preserve"> de Colombia S.A, que debido a la identificación de una impureza de tipo </w:t>
      </w:r>
      <w:proofErr w:type="spellStart"/>
      <w:r w:rsidRPr="00DA738B">
        <w:rPr>
          <w:sz w:val="24"/>
          <w:szCs w:val="24"/>
        </w:rPr>
        <w:t>Azido</w:t>
      </w:r>
      <w:proofErr w:type="spellEnd"/>
      <w:r w:rsidRPr="00DA738B">
        <w:rPr>
          <w:sz w:val="24"/>
          <w:szCs w:val="24"/>
        </w:rPr>
        <w:t xml:space="preserve"> en la sustancia activa del producto </w:t>
      </w:r>
      <w:proofErr w:type="spellStart"/>
      <w:r w:rsidRPr="00DA738B">
        <w:rPr>
          <w:sz w:val="24"/>
          <w:szCs w:val="24"/>
        </w:rPr>
        <w:t>Losartán</w:t>
      </w:r>
      <w:proofErr w:type="spellEnd"/>
      <w:r w:rsidRPr="00DA738B">
        <w:rPr>
          <w:sz w:val="24"/>
          <w:szCs w:val="24"/>
        </w:rPr>
        <w:t xml:space="preserve">, </w:t>
      </w:r>
      <w:proofErr w:type="spellStart"/>
      <w:r w:rsidRPr="00DA738B">
        <w:rPr>
          <w:sz w:val="24"/>
          <w:szCs w:val="24"/>
        </w:rPr>
        <w:t>Sandoz</w:t>
      </w:r>
      <w:proofErr w:type="spellEnd"/>
      <w:r w:rsidRPr="00DA738B">
        <w:rPr>
          <w:sz w:val="24"/>
          <w:szCs w:val="24"/>
        </w:rPr>
        <w:t xml:space="preserve"> GMBH, como titular de los registros sanitarios, ha iniciado el retiro voluntario de todos los lotes de </w:t>
      </w:r>
      <w:proofErr w:type="spellStart"/>
      <w:r w:rsidRPr="00DA738B">
        <w:rPr>
          <w:sz w:val="24"/>
          <w:szCs w:val="24"/>
        </w:rPr>
        <w:t>Losartan</w:t>
      </w:r>
      <w:proofErr w:type="spellEnd"/>
      <w:r w:rsidRPr="00DA738B">
        <w:rPr>
          <w:sz w:val="24"/>
          <w:szCs w:val="24"/>
        </w:rPr>
        <w:t xml:space="preserve"> 50 y 100mg en los siguientes países, además de Colombia; Austria, Bélgica, China, República Checa, Francia, Dinamarca, Finlandia, Suecia, España, Italia; Holanda, Filipinas, Polonia, Portugal, Vietnam, Brasil, Hong Kong, Singapur, Suiza, Canadá, Alemania y Hungría. Para el caso colombiano, el retiro voluntario recae sobre el total de los lotes de los productos </w:t>
      </w:r>
      <w:proofErr w:type="spellStart"/>
      <w:r w:rsidRPr="00DA738B">
        <w:rPr>
          <w:sz w:val="24"/>
          <w:szCs w:val="24"/>
        </w:rPr>
        <w:t>Losartán</w:t>
      </w:r>
      <w:proofErr w:type="spellEnd"/>
      <w:r w:rsidRPr="00DA738B">
        <w:rPr>
          <w:sz w:val="24"/>
          <w:szCs w:val="24"/>
        </w:rPr>
        <w:t xml:space="preserve"> potásico 50 mg (registro sanitario 2009M-0010223) y </w:t>
      </w:r>
      <w:proofErr w:type="spellStart"/>
      <w:r w:rsidRPr="00DA738B">
        <w:rPr>
          <w:sz w:val="24"/>
          <w:szCs w:val="24"/>
        </w:rPr>
        <w:t>Losartán</w:t>
      </w:r>
      <w:proofErr w:type="spellEnd"/>
      <w:r w:rsidRPr="00DA738B">
        <w:rPr>
          <w:sz w:val="24"/>
          <w:szCs w:val="24"/>
        </w:rPr>
        <w:t xml:space="preserve"> potásico </w:t>
      </w:r>
      <w:proofErr w:type="spellStart"/>
      <w:r w:rsidRPr="00DA738B">
        <w:rPr>
          <w:sz w:val="24"/>
          <w:szCs w:val="24"/>
        </w:rPr>
        <w:t>Sandoz</w:t>
      </w:r>
      <w:proofErr w:type="spellEnd"/>
      <w:r w:rsidRPr="00DA738B">
        <w:rPr>
          <w:sz w:val="24"/>
          <w:szCs w:val="24"/>
        </w:rPr>
        <w:t xml:space="preserve">® 100mg tabletas recubiertas (registro sanitario 2009M-0010212) importados por </w:t>
      </w:r>
      <w:proofErr w:type="spellStart"/>
      <w:r w:rsidRPr="00DA738B">
        <w:rPr>
          <w:sz w:val="24"/>
          <w:szCs w:val="24"/>
        </w:rPr>
        <w:t>Novartis</w:t>
      </w:r>
      <w:proofErr w:type="spellEnd"/>
      <w:r w:rsidRPr="00DA738B">
        <w:rPr>
          <w:sz w:val="24"/>
          <w:szCs w:val="24"/>
        </w:rPr>
        <w:t xml:space="preserve"> de Colombia S.A. que corresponden a los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709"/>
        <w:gridCol w:w="2632"/>
        <w:gridCol w:w="1898"/>
      </w:tblGrid>
      <w:tr w:rsidR="00DA738B" w:rsidRPr="00DA738B" w:rsidTr="00DA738B">
        <w:tc>
          <w:tcPr>
            <w:tcW w:w="2830" w:type="dxa"/>
          </w:tcPr>
          <w:p w:rsidR="00DA738B" w:rsidRPr="00FF003B" w:rsidRDefault="00DA738B" w:rsidP="00DA738B">
            <w:pPr>
              <w:jc w:val="center"/>
              <w:rPr>
                <w:b/>
                <w:sz w:val="28"/>
                <w:szCs w:val="24"/>
              </w:rPr>
            </w:pPr>
            <w:bookmarkStart w:id="0" w:name="_GoBack" w:colFirst="3" w:colLast="4"/>
            <w:r w:rsidRPr="00FF003B">
              <w:rPr>
                <w:b/>
                <w:sz w:val="28"/>
                <w:szCs w:val="24"/>
              </w:rPr>
              <w:t>PRODUCTO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738B" w:rsidRPr="00FF003B" w:rsidRDefault="00DA738B" w:rsidP="00DA738B">
            <w:pPr>
              <w:jc w:val="center"/>
              <w:rPr>
                <w:b/>
                <w:sz w:val="28"/>
                <w:szCs w:val="24"/>
              </w:rPr>
            </w:pPr>
            <w:r w:rsidRPr="00FF003B">
              <w:rPr>
                <w:b/>
                <w:sz w:val="28"/>
                <w:szCs w:val="24"/>
              </w:rPr>
              <w:t>LOTE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38B" w:rsidRPr="00DA738B" w:rsidRDefault="00DA738B" w:rsidP="00DA73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DA738B" w:rsidRPr="00FF003B" w:rsidRDefault="00DA738B" w:rsidP="00DA738B">
            <w:pPr>
              <w:jc w:val="center"/>
              <w:rPr>
                <w:b/>
                <w:sz w:val="28"/>
                <w:szCs w:val="24"/>
              </w:rPr>
            </w:pPr>
            <w:r w:rsidRPr="00FF003B">
              <w:rPr>
                <w:b/>
                <w:sz w:val="28"/>
                <w:szCs w:val="24"/>
              </w:rPr>
              <w:t>PRODUCTO</w:t>
            </w:r>
          </w:p>
        </w:tc>
        <w:tc>
          <w:tcPr>
            <w:tcW w:w="1898" w:type="dxa"/>
          </w:tcPr>
          <w:p w:rsidR="00DA738B" w:rsidRPr="00FF003B" w:rsidRDefault="00DA738B" w:rsidP="00DA738B">
            <w:pPr>
              <w:jc w:val="center"/>
              <w:rPr>
                <w:b/>
                <w:sz w:val="28"/>
                <w:szCs w:val="24"/>
              </w:rPr>
            </w:pPr>
            <w:r w:rsidRPr="00FF003B">
              <w:rPr>
                <w:b/>
                <w:sz w:val="28"/>
                <w:szCs w:val="24"/>
              </w:rPr>
              <w:t>LOTE</w:t>
            </w:r>
          </w:p>
        </w:tc>
      </w:tr>
      <w:bookmarkEnd w:id="0"/>
      <w:tr w:rsidR="00DA738B" w:rsidTr="00DA738B">
        <w:tc>
          <w:tcPr>
            <w:tcW w:w="2830" w:type="dxa"/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50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KN7841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100 MG</w:t>
            </w:r>
          </w:p>
        </w:tc>
        <w:tc>
          <w:tcPr>
            <w:tcW w:w="1898" w:type="dxa"/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KY3850</w:t>
            </w:r>
          </w:p>
        </w:tc>
      </w:tr>
      <w:tr w:rsidR="00DA738B" w:rsidTr="00DA738B">
        <w:tc>
          <w:tcPr>
            <w:tcW w:w="2830" w:type="dxa"/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50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KY7045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100 MG</w:t>
            </w:r>
          </w:p>
        </w:tc>
        <w:tc>
          <w:tcPr>
            <w:tcW w:w="1898" w:type="dxa"/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KY3851</w:t>
            </w:r>
          </w:p>
        </w:tc>
      </w:tr>
      <w:tr w:rsidR="00DA738B" w:rsidTr="00DA738B">
        <w:tc>
          <w:tcPr>
            <w:tcW w:w="2830" w:type="dxa"/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</w:t>
            </w:r>
            <w:r w:rsidRPr="00FF003B">
              <w:rPr>
                <w:b/>
                <w:i/>
                <w:sz w:val="24"/>
                <w:szCs w:val="24"/>
              </w:rPr>
              <w:t>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KD7500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100 MG</w:t>
            </w:r>
          </w:p>
        </w:tc>
        <w:tc>
          <w:tcPr>
            <w:tcW w:w="1898" w:type="dxa"/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KV0871</w:t>
            </w:r>
          </w:p>
        </w:tc>
      </w:tr>
      <w:tr w:rsidR="00DA738B" w:rsidTr="00DA738B">
        <w:tc>
          <w:tcPr>
            <w:tcW w:w="2830" w:type="dxa"/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KN4805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DA738B" w:rsidRPr="00FF003B" w:rsidRDefault="00DA738B" w:rsidP="00DA738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50 MG</w:t>
            </w:r>
          </w:p>
        </w:tc>
        <w:tc>
          <w:tcPr>
            <w:tcW w:w="1898" w:type="dxa"/>
          </w:tcPr>
          <w:p w:rsidR="00DA738B" w:rsidRPr="00FF003B" w:rsidRDefault="00DA738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KV1652</w:t>
            </w:r>
          </w:p>
        </w:tc>
      </w:tr>
      <w:tr w:rsidR="00FF003B" w:rsidTr="00DA738B">
        <w:tc>
          <w:tcPr>
            <w:tcW w:w="2830" w:type="dxa"/>
          </w:tcPr>
          <w:p w:rsidR="00FF003B" w:rsidRPr="00FF003B" w:rsidRDefault="00FF003B" w:rsidP="00FF003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100 MG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F003B" w:rsidRPr="00FF003B" w:rsidRDefault="00FF003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KN4806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03B" w:rsidRPr="00FF003B" w:rsidRDefault="00FF003B" w:rsidP="00FF003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FF003B" w:rsidRPr="00FF003B" w:rsidRDefault="00FF003B" w:rsidP="00FF003B">
            <w:pPr>
              <w:jc w:val="both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LOSARTAN 50 MG</w:t>
            </w:r>
          </w:p>
        </w:tc>
        <w:tc>
          <w:tcPr>
            <w:tcW w:w="1898" w:type="dxa"/>
          </w:tcPr>
          <w:p w:rsidR="00FF003B" w:rsidRPr="00FF003B" w:rsidRDefault="00FF003B" w:rsidP="00FF003B">
            <w:pPr>
              <w:jc w:val="center"/>
              <w:rPr>
                <w:b/>
                <w:i/>
                <w:sz w:val="24"/>
                <w:szCs w:val="24"/>
              </w:rPr>
            </w:pPr>
            <w:r w:rsidRPr="00FF003B">
              <w:rPr>
                <w:b/>
                <w:i/>
                <w:sz w:val="24"/>
                <w:szCs w:val="24"/>
              </w:rPr>
              <w:t>LB4144</w:t>
            </w:r>
          </w:p>
        </w:tc>
      </w:tr>
    </w:tbl>
    <w:p w:rsidR="00DA738B" w:rsidRDefault="00DA738B" w:rsidP="00DA738B">
      <w:pPr>
        <w:jc w:val="both"/>
        <w:rPr>
          <w:sz w:val="24"/>
          <w:szCs w:val="24"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</w:t>
      </w:r>
      <w:r w:rsidR="008738AF">
        <w:rPr>
          <w:b/>
        </w:rPr>
        <w:t xml:space="preserve">lote del </w:t>
      </w:r>
      <w:r>
        <w:rPr>
          <w:b/>
        </w:rPr>
        <w:t xml:space="preserve">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B12368">
      <w:pgSz w:w="12240" w:h="15840"/>
      <w:pgMar w:top="1135" w:right="1325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305EA"/>
    <w:rsid w:val="001573A2"/>
    <w:rsid w:val="00257063"/>
    <w:rsid w:val="00395533"/>
    <w:rsid w:val="003D5FC6"/>
    <w:rsid w:val="004C26F2"/>
    <w:rsid w:val="004C41DE"/>
    <w:rsid w:val="004C533B"/>
    <w:rsid w:val="00530AD5"/>
    <w:rsid w:val="006267B3"/>
    <w:rsid w:val="006761BA"/>
    <w:rsid w:val="006953B5"/>
    <w:rsid w:val="006C6DFA"/>
    <w:rsid w:val="006C7576"/>
    <w:rsid w:val="0080434D"/>
    <w:rsid w:val="00813C16"/>
    <w:rsid w:val="008738AF"/>
    <w:rsid w:val="00AD64B8"/>
    <w:rsid w:val="00B12368"/>
    <w:rsid w:val="00B6328E"/>
    <w:rsid w:val="00D17199"/>
    <w:rsid w:val="00D4149F"/>
    <w:rsid w:val="00DA738B"/>
    <w:rsid w:val="00E4647E"/>
    <w:rsid w:val="00EE4BEE"/>
    <w:rsid w:val="00F13750"/>
    <w:rsid w:val="00F14BB2"/>
    <w:rsid w:val="00F831EE"/>
    <w:rsid w:val="00F87F03"/>
    <w:rsid w:val="00FB1E18"/>
    <w:rsid w:val="00FF003B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610318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24</cp:revision>
  <dcterms:created xsi:type="dcterms:W3CDTF">2021-03-29T15:50:00Z</dcterms:created>
  <dcterms:modified xsi:type="dcterms:W3CDTF">2021-10-01T15:27:00Z</dcterms:modified>
</cp:coreProperties>
</file>